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55" w:rsidRDefault="00547995" w:rsidP="00142A18">
      <w:pPr>
        <w:spacing w:after="0" w:line="240" w:lineRule="auto"/>
        <w:jc w:val="center"/>
        <w:rPr>
          <w:rFonts w:ascii="Times New Roman" w:eastAsia="Times New Roman" w:hAnsi="Times New Roman"/>
          <w:sz w:val="28"/>
          <w:szCs w:val="28"/>
        </w:rPr>
      </w:pPr>
      <w:r w:rsidRPr="00215E55">
        <w:rPr>
          <w:rFonts w:eastAsia="Times New Roman"/>
          <w:sz w:val="28"/>
          <w:szCs w:val="28"/>
        </w:rPr>
        <w:br/>
      </w:r>
    </w:p>
    <w:p w:rsidR="00215E55" w:rsidRDefault="00142A18" w:rsidP="00547995">
      <w:pPr>
        <w:spacing w:after="0" w:line="240" w:lineRule="auto"/>
        <w:jc w:val="center"/>
        <w:rPr>
          <w:rFonts w:ascii="Times New Roman" w:eastAsia="Times New Roman" w:hAnsi="Times New Roman"/>
          <w:sz w:val="28"/>
          <w:szCs w:val="28"/>
        </w:rPr>
      </w:pPr>
      <w:r w:rsidRPr="00142A18">
        <w:rPr>
          <w:rFonts w:ascii="Times New Roman" w:eastAsia="Times New Roman" w:hAnsi="Times New Roman"/>
          <w:noProof/>
          <w:sz w:val="28"/>
          <w:szCs w:val="28"/>
        </w:rPr>
        <w:drawing>
          <wp:inline distT="0" distB="0" distL="0" distR="0">
            <wp:extent cx="6480810" cy="8978452"/>
            <wp:effectExtent l="0" t="0" r="0" b="0"/>
            <wp:docPr id="1" name="Рисунок 1" descr="D:\Бердова титул\CCF02102023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Бердова титул\CCF02102023_0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8978452"/>
                    </a:xfrm>
                    <a:prstGeom prst="rect">
                      <a:avLst/>
                    </a:prstGeom>
                    <a:noFill/>
                    <a:ln>
                      <a:noFill/>
                    </a:ln>
                  </pic:spPr>
                </pic:pic>
              </a:graphicData>
            </a:graphic>
          </wp:inline>
        </w:drawing>
      </w:r>
      <w:bookmarkStart w:id="0" w:name="_GoBack"/>
      <w:bookmarkEnd w:id="0"/>
    </w:p>
    <w:p w:rsidR="00215E55" w:rsidRDefault="00215E55" w:rsidP="00547995">
      <w:pPr>
        <w:spacing w:after="0" w:line="240" w:lineRule="auto"/>
        <w:jc w:val="center"/>
        <w:rPr>
          <w:rFonts w:ascii="Times New Roman" w:eastAsia="Times New Roman" w:hAnsi="Times New Roman"/>
          <w:sz w:val="28"/>
          <w:szCs w:val="28"/>
        </w:rPr>
      </w:pPr>
    </w:p>
    <w:p w:rsidR="00215E55" w:rsidRDefault="00215E55" w:rsidP="00547995">
      <w:pPr>
        <w:spacing w:after="0" w:line="240" w:lineRule="auto"/>
        <w:jc w:val="center"/>
        <w:rPr>
          <w:rFonts w:ascii="Times New Roman" w:eastAsia="Times New Roman" w:hAnsi="Times New Roman"/>
          <w:sz w:val="28"/>
          <w:szCs w:val="28"/>
        </w:rPr>
      </w:pPr>
    </w:p>
    <w:p w:rsidR="00215E55" w:rsidRPr="002256A3" w:rsidRDefault="00215E55" w:rsidP="00547995">
      <w:pPr>
        <w:spacing w:after="0" w:line="240" w:lineRule="auto"/>
        <w:jc w:val="center"/>
        <w:rPr>
          <w:rFonts w:ascii="Times New Roman" w:eastAsia="Times New Roman" w:hAnsi="Times New Roman"/>
          <w:sz w:val="28"/>
          <w:szCs w:val="28"/>
        </w:rPr>
      </w:pPr>
    </w:p>
    <w:p w:rsidR="00547995" w:rsidRDefault="00547995" w:rsidP="00547995"/>
    <w:p w:rsidR="00454840" w:rsidRPr="005F4BD5" w:rsidRDefault="003A3DF3">
      <w:pPr>
        <w:shd w:val="clear" w:color="auto" w:fill="FFFFFF"/>
        <w:spacing w:after="0" w:line="240" w:lineRule="auto"/>
        <w:jc w:val="center"/>
        <w:outlineLvl w:val="0"/>
        <w:rPr>
          <w:rFonts w:ascii="Times New Roman" w:eastAsia="Times New Roman" w:hAnsi="Times New Roman"/>
          <w:b/>
          <w:bCs/>
          <w:sz w:val="24"/>
          <w:szCs w:val="24"/>
        </w:rPr>
      </w:pPr>
      <w:r w:rsidRPr="005F4BD5">
        <w:rPr>
          <w:rFonts w:ascii="Times New Roman" w:eastAsia="Times New Roman" w:hAnsi="Times New Roman"/>
          <w:b/>
          <w:bCs/>
          <w:sz w:val="24"/>
          <w:szCs w:val="24"/>
        </w:rPr>
        <w:t>Пояснительная записка</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bookmarkStart w:id="1" w:name="__DdeLink__402_230450745"/>
      <w:bookmarkEnd w:id="1"/>
      <w:r w:rsidRPr="005F4BD5">
        <w:rPr>
          <w:rFonts w:ascii="Times New Roman" w:eastAsia="Times New Roman" w:hAnsi="Times New Roman"/>
          <w:sz w:val="24"/>
          <w:szCs w:val="24"/>
        </w:rPr>
        <w:t>Элективный курс «Агрохимия в школе» рассчитан на обучающихся</w:t>
      </w:r>
      <w:r w:rsidR="00547995" w:rsidRPr="00547995">
        <w:rPr>
          <w:rFonts w:ascii="Times New Roman" w:eastAsia="Times New Roman" w:hAnsi="Times New Roman"/>
          <w:sz w:val="24"/>
          <w:szCs w:val="24"/>
        </w:rPr>
        <w:t xml:space="preserve"> </w:t>
      </w:r>
      <w:r w:rsidRPr="005F4BD5">
        <w:rPr>
          <w:rFonts w:ascii="Times New Roman" w:eastAsia="Times New Roman" w:hAnsi="Times New Roman"/>
          <w:sz w:val="24"/>
          <w:szCs w:val="24"/>
        </w:rPr>
        <w:t xml:space="preserve">10 – 11 классов общеобразовательных организаций, которые проявляют определенный интерес к профессиям химика, агронома, биолога и эколога. </w:t>
      </w:r>
      <w:r w:rsidR="00215E55">
        <w:rPr>
          <w:rFonts w:ascii="Times New Roman" w:eastAsia="Times New Roman" w:hAnsi="Times New Roman"/>
          <w:sz w:val="24"/>
          <w:szCs w:val="24"/>
        </w:rPr>
        <w:t>О</w:t>
      </w:r>
      <w:r w:rsidRPr="005F4BD5">
        <w:rPr>
          <w:rFonts w:ascii="Times New Roman" w:eastAsia="Times New Roman" w:hAnsi="Times New Roman"/>
          <w:sz w:val="24"/>
          <w:szCs w:val="24"/>
        </w:rPr>
        <w:t>рганизации краткосрочных (проблемных) курсов по отдельным его разделам, к примеру, таким как: «Техника лабораторных работ»; «Предмет и задачи агрохимии. История развития»; «Анализ удобрений».Теоретической базой курса служат химия, биология и география. Расширяя и углубляя знания и умения обучающихся, полученные на уроках химии, биологии и географии, учащиеся овладевают элементами агрохимии и аналитической химии.</w:t>
      </w:r>
    </w:p>
    <w:p w:rsidR="00454840" w:rsidRPr="005F4BD5" w:rsidRDefault="00454840">
      <w:pPr>
        <w:shd w:val="clear" w:color="auto" w:fill="FFFFFF"/>
        <w:spacing w:after="0" w:line="240" w:lineRule="auto"/>
        <w:jc w:val="center"/>
        <w:rPr>
          <w:rFonts w:ascii="Times New Roman" w:eastAsia="Times New Roman" w:hAnsi="Times New Roman"/>
          <w:b/>
          <w:bCs/>
          <w:sz w:val="24"/>
          <w:szCs w:val="24"/>
        </w:rPr>
      </w:pPr>
    </w:p>
    <w:p w:rsidR="00454840" w:rsidRPr="005F4BD5" w:rsidRDefault="00E63E18">
      <w:pPr>
        <w:shd w:val="clear" w:color="auto" w:fill="FFFFFF"/>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Цели и задачи курса</w:t>
      </w:r>
    </w:p>
    <w:p w:rsidR="00454840" w:rsidRPr="005F4BD5" w:rsidRDefault="00454840">
      <w:pPr>
        <w:shd w:val="clear" w:color="auto" w:fill="FFFFFF"/>
        <w:spacing w:after="0" w:line="240" w:lineRule="auto"/>
        <w:jc w:val="center"/>
        <w:rPr>
          <w:rFonts w:ascii="Times New Roman" w:eastAsia="Times New Roman" w:hAnsi="Times New Roman"/>
          <w:b/>
          <w:bCs/>
          <w:sz w:val="24"/>
          <w:szCs w:val="24"/>
        </w:rPr>
      </w:pP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Целью элективного курса «Агрохимия в школе» является ознакомление обучающихся со свойствами почвы, ее составом, строением и видами, а также с основами мелиорации. Большой раздел программы отводится изучению различных видов удобрений и правилам их применения. Школьники приобретают устойчивые умения работы с нагревательными приборами, весами, мерной посудой и реактивами, учатся самостоятельно проделывать агрохимические анализы различных типов почв, некоторых удобрений. В качестве объектов исследования отобраны минеральные удобрения, химическое строение и свойства которых легко анализируются на основе курса химии.</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В задачи курса входит более детальное ознакомление обучающихся с техникой и правилами лабораторных работ с химическими реактивами, лабораторным оборудованием и химической посудой, как общего, так и специального назначения.</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Кроме этого программа курса предполагает:</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развитие интереса в области химии, биологии, географии и сельского хозяйства; проведение профориентационной работы;</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дальнейшее развитие познавательных и мыслительных способностей, умений самостоятельно овладевать знаниями, а также понимания роли химической науки в развитии сельского хозяйства;</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расширение и углубление знаний о строении, свойствах, применении и методах получения веществ и материалов;</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расширение научного мировоззрения и уточнение естественнонаучной картины мира в их сознании, преодоление хемофобии и безразличного отношения к современным экологическим проблемам;</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воспитание гражданской нравственности, трудолюбия, аккуратности, внимательности, бережного отношения к материальным и духовным ценностям.</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подготовку к олимпиадам, конкурсам, научно-практическим конференциям и поступлению в вузы.</w:t>
      </w:r>
    </w:p>
    <w:p w:rsidR="00454840" w:rsidRPr="005F4BD5" w:rsidRDefault="00E63E18">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Наряду с образовательными, курс предполагает решение воспитательных задач и развитие личности обучающихся, формирование у них гуманистических чувств и отношений в общении с окружающими людьми и во взглядах на природу в целом.</w:t>
      </w:r>
    </w:p>
    <w:p w:rsidR="00454840" w:rsidRPr="005F4BD5" w:rsidRDefault="00454840">
      <w:pPr>
        <w:shd w:val="clear" w:color="auto" w:fill="FFFFFF"/>
        <w:spacing w:after="0" w:line="240" w:lineRule="auto"/>
        <w:jc w:val="center"/>
        <w:rPr>
          <w:rFonts w:ascii="Times New Roman" w:eastAsia="Times New Roman" w:hAnsi="Times New Roman"/>
          <w:b/>
          <w:bCs/>
          <w:sz w:val="24"/>
          <w:szCs w:val="24"/>
        </w:rPr>
      </w:pPr>
    </w:p>
    <w:p w:rsidR="00547995" w:rsidRDefault="0054799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Pr="00215E55" w:rsidRDefault="00215E55">
      <w:pPr>
        <w:shd w:val="clear" w:color="auto" w:fill="FFFFFF"/>
        <w:spacing w:after="0" w:line="240" w:lineRule="auto"/>
        <w:jc w:val="center"/>
        <w:rPr>
          <w:rFonts w:ascii="Times New Roman" w:eastAsia="Times New Roman" w:hAnsi="Times New Roman"/>
          <w:b/>
          <w:bCs/>
          <w:sz w:val="24"/>
          <w:szCs w:val="24"/>
        </w:rPr>
      </w:pPr>
    </w:p>
    <w:p w:rsidR="00215E55" w:rsidRPr="005F4BD5" w:rsidRDefault="00215E55" w:rsidP="00215E55">
      <w:pPr>
        <w:spacing w:after="0" w:line="240" w:lineRule="auto"/>
        <w:jc w:val="center"/>
        <w:rPr>
          <w:rFonts w:ascii="Times New Roman" w:eastAsia="Times New Roman" w:hAnsi="Times New Roman"/>
          <w:b/>
          <w:bCs/>
          <w:sz w:val="24"/>
          <w:szCs w:val="24"/>
          <w:shd w:val="clear" w:color="auto" w:fill="FFFFFF"/>
        </w:rPr>
      </w:pPr>
      <w:r w:rsidRPr="005F4BD5">
        <w:rPr>
          <w:rFonts w:ascii="Times New Roman" w:eastAsia="Times New Roman" w:hAnsi="Times New Roman"/>
          <w:b/>
          <w:bCs/>
          <w:sz w:val="24"/>
          <w:szCs w:val="24"/>
          <w:shd w:val="clear" w:color="auto" w:fill="FFFFFF"/>
        </w:rPr>
        <w:t>Содержание курса</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 </w:t>
      </w:r>
      <w:r w:rsidRPr="005F4BD5">
        <w:rPr>
          <w:rFonts w:ascii="Times New Roman" w:eastAsia="Times New Roman" w:hAnsi="Times New Roman"/>
          <w:sz w:val="24"/>
          <w:szCs w:val="24"/>
        </w:rPr>
        <w:t>Организационное занятие.  Общие требования к учащимся (рабочий журнал, халат, дисциплина и т.д.). Ознакомление учащихся с программой и формами занятий. Агрохимия как наука, ее связь с химией и биологией. Краткий исторический очерк развития агрохимии.</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2. </w:t>
      </w:r>
      <w:r w:rsidRPr="005F4BD5">
        <w:rPr>
          <w:rFonts w:ascii="Times New Roman" w:eastAsia="Times New Roman" w:hAnsi="Times New Roman"/>
          <w:sz w:val="24"/>
          <w:szCs w:val="24"/>
        </w:rPr>
        <w:t>Инструктаж по технике безопасности работы в химической лаборатории. Уточнение расположения в кабинете электрических выключателей, водопроводных и газовых кранов, средств тушения пожаров. Знакомство с химической посудой и лабораторным оборудованием.</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3. </w:t>
      </w:r>
      <w:r w:rsidRPr="005F4BD5">
        <w:rPr>
          <w:rFonts w:ascii="Times New Roman" w:eastAsia="Times New Roman" w:hAnsi="Times New Roman"/>
          <w:sz w:val="24"/>
          <w:szCs w:val="24"/>
        </w:rPr>
        <w:t>Почва. Твёрдая фаза почвы, почвенный воздух, почвенный раствор. Понятие о потенциальном и эффективном плодородии почвы. Почвенный профиль. Понятие о генетических почвенных горизонтах. Мощность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b/>
          <w:bCs/>
          <w:i/>
          <w:iCs/>
          <w:sz w:val="24"/>
          <w:szCs w:val="24"/>
        </w:rPr>
      </w:pPr>
      <w:r w:rsidRPr="005F4BD5">
        <w:rPr>
          <w:rFonts w:ascii="Times New Roman" w:eastAsia="Times New Roman" w:hAnsi="Times New Roman"/>
          <w:b/>
          <w:bCs/>
          <w:i/>
          <w:iCs/>
          <w:sz w:val="24"/>
          <w:szCs w:val="24"/>
        </w:rPr>
        <w:t>Практические работы: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1. “Определение мощности почвы и её отдельных горизонтов”.</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2. “Взятие почвенных образцов и подготовка их к анализу”.</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4. </w:t>
      </w:r>
      <w:r w:rsidRPr="005F4BD5">
        <w:rPr>
          <w:rFonts w:ascii="Times New Roman" w:eastAsia="Times New Roman" w:hAnsi="Times New Roman"/>
          <w:sz w:val="24"/>
          <w:szCs w:val="24"/>
        </w:rPr>
        <w:t>Состав минеральной части почвы: понятие о первичных и вторичных минералах. Состав органической части почвы: негумифицированные и гумусовые органические вещества (гумус); гуминовые кислоты фульвокислоты.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b/>
          <w:bCs/>
          <w:i/>
          <w:iCs/>
          <w:sz w:val="24"/>
          <w:szCs w:val="24"/>
        </w:rPr>
      </w:pPr>
      <w:r w:rsidRPr="005F4BD5">
        <w:rPr>
          <w:rFonts w:ascii="Times New Roman" w:eastAsia="Times New Roman" w:hAnsi="Times New Roman"/>
          <w:b/>
          <w:bCs/>
          <w:i/>
          <w:iCs/>
          <w:sz w:val="24"/>
          <w:szCs w:val="24"/>
        </w:rPr>
        <w:t>Практические работы: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3 “Определение влажности и массовой доли органических веществ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4 “Определение массовой доли перегноя в почве”.</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5.</w:t>
      </w:r>
      <w:r w:rsidRPr="005F4BD5">
        <w:rPr>
          <w:rFonts w:ascii="Times New Roman" w:eastAsia="Times New Roman" w:hAnsi="Times New Roman"/>
          <w:sz w:val="24"/>
          <w:szCs w:val="24"/>
        </w:rPr>
        <w:t> Генетическая классификация почв, понятие о почвенном типе. Классификация почв по механическому составу, гранулометрический состав почв.</w:t>
      </w:r>
    </w:p>
    <w:p w:rsidR="00215E55" w:rsidRPr="005F4BD5" w:rsidRDefault="00215E55" w:rsidP="00215E55">
      <w:pPr>
        <w:shd w:val="clear" w:color="auto" w:fill="FFFFFF"/>
        <w:spacing w:after="0" w:line="240" w:lineRule="auto"/>
        <w:ind w:firstLine="709"/>
        <w:jc w:val="both"/>
        <w:rPr>
          <w:rFonts w:ascii="Times New Roman" w:eastAsia="Times New Roman" w:hAnsi="Times New Roman"/>
          <w:b/>
          <w:bCs/>
          <w:i/>
          <w:iCs/>
          <w:sz w:val="24"/>
          <w:szCs w:val="24"/>
        </w:rPr>
      </w:pPr>
      <w:r w:rsidRPr="005F4BD5">
        <w:rPr>
          <w:rFonts w:ascii="Times New Roman" w:eastAsia="Times New Roman" w:hAnsi="Times New Roman"/>
          <w:b/>
          <w:bCs/>
          <w:i/>
          <w:iCs/>
          <w:sz w:val="24"/>
          <w:szCs w:val="24"/>
        </w:rPr>
        <w:t>Практические работы: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5 “Определение механического состава почвы “методом шнура” Качинского”.</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6 “Определение механического состава почвы методом отстаивания”.</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6.</w:t>
      </w:r>
      <w:r w:rsidRPr="005F4BD5">
        <w:rPr>
          <w:rFonts w:ascii="Times New Roman" w:eastAsia="Times New Roman" w:hAnsi="Times New Roman"/>
          <w:sz w:val="24"/>
          <w:szCs w:val="24"/>
        </w:rPr>
        <w:t> Поглотительная способность почв: биологическое, физическое, механическое, химическое, физико-химическое поглощение; понятие о почвенных коллоидах, почвенном поглощающем комплексе (ППК), емкости обменного поглощения, степени насыщенности основаниями.</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Кислотность почв: актуальная, обменная, гидролитическая кислотности почвы. Щелочность и буферность почв.</w:t>
      </w:r>
    </w:p>
    <w:p w:rsidR="00215E55" w:rsidRPr="005F4BD5" w:rsidRDefault="00215E55" w:rsidP="00215E55">
      <w:pPr>
        <w:shd w:val="clear" w:color="auto" w:fill="FFFFFF"/>
        <w:spacing w:after="0" w:line="240" w:lineRule="auto"/>
        <w:ind w:firstLine="709"/>
        <w:jc w:val="both"/>
        <w:rPr>
          <w:rFonts w:ascii="Times New Roman" w:eastAsia="Times New Roman" w:hAnsi="Times New Roman"/>
          <w:b/>
          <w:bCs/>
          <w:i/>
          <w:iCs/>
          <w:sz w:val="24"/>
          <w:szCs w:val="24"/>
        </w:rPr>
      </w:pPr>
      <w:r w:rsidRPr="005F4BD5">
        <w:rPr>
          <w:rFonts w:ascii="Times New Roman" w:eastAsia="Times New Roman" w:hAnsi="Times New Roman"/>
          <w:b/>
          <w:bCs/>
          <w:i/>
          <w:iCs/>
          <w:sz w:val="24"/>
          <w:szCs w:val="24"/>
        </w:rPr>
        <w:t>Практические работы: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7 “Определение активной кислотности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8 “Определение обменной кислотности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9 “Определение гидролитической кислотности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7.</w:t>
      </w:r>
      <w:r w:rsidRPr="005F4BD5">
        <w:rPr>
          <w:rFonts w:ascii="Times New Roman" w:eastAsia="Times New Roman" w:hAnsi="Times New Roman"/>
          <w:sz w:val="24"/>
          <w:szCs w:val="24"/>
        </w:rPr>
        <w:t> Классификация форм воды, содержащейся в почве. Гравитационная, грунтовая, капиллярная, кристаллизационная, гигроскопическая и парообразная вода почвы. Понятие о влажности, влагоемкости и водопроницаемости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b/>
          <w:bCs/>
          <w:i/>
          <w:iCs/>
          <w:sz w:val="24"/>
          <w:szCs w:val="24"/>
        </w:rPr>
      </w:pPr>
      <w:r w:rsidRPr="005F4BD5">
        <w:rPr>
          <w:rFonts w:ascii="Times New Roman" w:eastAsia="Times New Roman" w:hAnsi="Times New Roman"/>
          <w:b/>
          <w:bCs/>
          <w:i/>
          <w:iCs/>
          <w:sz w:val="24"/>
          <w:szCs w:val="24"/>
        </w:rPr>
        <w:t>Практические работы: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10 “Определение влагоёмкости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8.</w:t>
      </w:r>
      <w:r w:rsidRPr="005F4BD5">
        <w:rPr>
          <w:rFonts w:ascii="Times New Roman" w:eastAsia="Times New Roman" w:hAnsi="Times New Roman"/>
          <w:sz w:val="24"/>
          <w:szCs w:val="24"/>
        </w:rPr>
        <w:t> Общее понятие об удобрениях, их классификация по различным признакам. Минеральные, органические, органно-минеральные и бактериальные удобрения; простые и комплексные удобрения. Краткий исторический очерк использования удобрений в жизни человека.</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9.</w:t>
      </w:r>
      <w:r w:rsidRPr="005F4BD5">
        <w:rPr>
          <w:rFonts w:ascii="Times New Roman" w:eastAsia="Times New Roman" w:hAnsi="Times New Roman"/>
          <w:sz w:val="24"/>
          <w:szCs w:val="24"/>
        </w:rPr>
        <w:t> Азот в жизнедеятельности растений. Формы азота доступные для питания растений. Процессы нитрификации и аммонификации. Классификация азотных удобрений по форме азота содержащегося в них. Аммиачные, нитратные, аммиачно-нитратные и амидные азотные удобрения.</w:t>
      </w:r>
    </w:p>
    <w:p w:rsidR="00215E55" w:rsidRPr="005F4BD5" w:rsidRDefault="00215E55" w:rsidP="00215E55">
      <w:pPr>
        <w:shd w:val="clear" w:color="auto" w:fill="FFFFFF"/>
        <w:spacing w:after="0" w:line="240" w:lineRule="auto"/>
        <w:ind w:firstLine="709"/>
        <w:jc w:val="both"/>
        <w:rPr>
          <w:rFonts w:ascii="Times New Roman" w:eastAsia="Times New Roman" w:hAnsi="Times New Roman"/>
          <w:b/>
          <w:bCs/>
          <w:i/>
          <w:iCs/>
          <w:sz w:val="24"/>
          <w:szCs w:val="24"/>
        </w:rPr>
      </w:pPr>
      <w:r w:rsidRPr="005F4BD5">
        <w:rPr>
          <w:rFonts w:ascii="Times New Roman" w:eastAsia="Times New Roman" w:hAnsi="Times New Roman"/>
          <w:b/>
          <w:bCs/>
          <w:i/>
          <w:iCs/>
          <w:sz w:val="24"/>
          <w:szCs w:val="24"/>
        </w:rPr>
        <w:lastRenderedPageBreak/>
        <w:t>Практические работы: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11 “Определение содержания нитратного азота в почве”.</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10.</w:t>
      </w:r>
      <w:r w:rsidRPr="005F4BD5">
        <w:rPr>
          <w:rFonts w:ascii="Times New Roman" w:eastAsia="Times New Roman" w:hAnsi="Times New Roman"/>
          <w:sz w:val="24"/>
          <w:szCs w:val="24"/>
        </w:rPr>
        <w:t> Фосфор в жизнедеятельности растений. Источники фосфора доступного для питания растений. Классификация фосфорных удобрений по их растворимости в воде и слабых кислотах. Растворимые в воде фосфаты; полурастворимые фосфорные удобрения; фосфорные удобрения не растворимые ни в воде, ни в слабых кислотах.</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11.</w:t>
      </w:r>
      <w:r w:rsidRPr="005F4BD5">
        <w:rPr>
          <w:rFonts w:ascii="Times New Roman" w:eastAsia="Times New Roman" w:hAnsi="Times New Roman"/>
          <w:sz w:val="24"/>
          <w:szCs w:val="24"/>
        </w:rPr>
        <w:t> Калий в жизнедеятельности растений. Классификация калийных удобрений. Зола как местное калийное удобрение.</w:t>
      </w:r>
    </w:p>
    <w:p w:rsidR="00215E55" w:rsidRPr="005F4BD5" w:rsidRDefault="00215E55" w:rsidP="00215E55">
      <w:pPr>
        <w:shd w:val="clear" w:color="auto" w:fill="FFFFFF"/>
        <w:spacing w:after="0" w:line="240" w:lineRule="auto"/>
        <w:ind w:firstLine="709"/>
        <w:jc w:val="both"/>
        <w:rPr>
          <w:rFonts w:ascii="Times New Roman" w:eastAsia="Times New Roman" w:hAnsi="Times New Roman"/>
          <w:b/>
          <w:bCs/>
          <w:i/>
          <w:iCs/>
          <w:sz w:val="24"/>
          <w:szCs w:val="24"/>
        </w:rPr>
      </w:pPr>
      <w:r w:rsidRPr="005F4BD5">
        <w:rPr>
          <w:rFonts w:ascii="Times New Roman" w:eastAsia="Times New Roman" w:hAnsi="Times New Roman"/>
          <w:b/>
          <w:bCs/>
          <w:i/>
          <w:iCs/>
          <w:sz w:val="24"/>
          <w:szCs w:val="24"/>
        </w:rPr>
        <w:t>Практические работы: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12 “Определение содержания калия в почве”.</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№13 “Распознание минеральных удобрений”.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 14 “Распознание минеральных удобрений с помощью определителя”.</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12.</w:t>
      </w:r>
      <w:r w:rsidRPr="005F4BD5">
        <w:rPr>
          <w:rFonts w:ascii="Times New Roman" w:eastAsia="Times New Roman" w:hAnsi="Times New Roman"/>
          <w:sz w:val="24"/>
          <w:szCs w:val="24"/>
        </w:rPr>
        <w:t> Общее понятие о микроэлементах. Микроэлементы в жизнедеятельности растений: железо, бор, марганец, медь, молибден, цинк. Классификация микроудобрений в зависимости от содержащегося в них микроэлемента.</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Общее понятие о комплексных удобрениях. Смешанные, сложные и комбинированные удобрения.</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13.</w:t>
      </w:r>
      <w:r w:rsidRPr="005F4BD5">
        <w:rPr>
          <w:rFonts w:ascii="Times New Roman" w:eastAsia="Times New Roman" w:hAnsi="Times New Roman"/>
          <w:sz w:val="24"/>
          <w:szCs w:val="24"/>
        </w:rPr>
        <w:t> Общее понятие об органических удобрениях. Значение органических удобрений. Торф и навоз как органические удобрения, компосты, зелёное удобрение (сидераты).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14.</w:t>
      </w:r>
      <w:r w:rsidRPr="005F4BD5">
        <w:rPr>
          <w:rFonts w:ascii="Times New Roman" w:eastAsia="Times New Roman" w:hAnsi="Times New Roman"/>
          <w:sz w:val="24"/>
          <w:szCs w:val="24"/>
        </w:rPr>
        <w:t> Внесение удобрений. Классификация удобрений по срокам внесения: допосевное, припосевное и послепосевное (подкормка) удобрения. Применение фосфорных, азотных, калийных удобрений.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15. </w:t>
      </w:r>
      <w:r w:rsidR="006B1936">
        <w:rPr>
          <w:rFonts w:ascii="Times New Roman" w:eastAsia="Times New Roman" w:hAnsi="Times New Roman"/>
          <w:sz w:val="24"/>
          <w:szCs w:val="24"/>
        </w:rPr>
        <w:t xml:space="preserve">Защита </w:t>
      </w:r>
      <w:r w:rsidRPr="005F4BD5">
        <w:rPr>
          <w:rFonts w:ascii="Times New Roman" w:eastAsia="Times New Roman" w:hAnsi="Times New Roman"/>
          <w:sz w:val="24"/>
          <w:szCs w:val="24"/>
        </w:rPr>
        <w:t>творчес</w:t>
      </w:r>
      <w:r w:rsidR="006B1936">
        <w:rPr>
          <w:rFonts w:ascii="Times New Roman" w:eastAsia="Times New Roman" w:hAnsi="Times New Roman"/>
          <w:sz w:val="24"/>
          <w:szCs w:val="24"/>
        </w:rPr>
        <w:t>ких проектов</w:t>
      </w:r>
      <w:r w:rsidRPr="005F4BD5">
        <w:rPr>
          <w:rFonts w:ascii="Times New Roman" w:eastAsia="Times New Roman" w:hAnsi="Times New Roman"/>
          <w:sz w:val="24"/>
          <w:szCs w:val="24"/>
        </w:rPr>
        <w:t xml:space="preserve"> по индивидуальным темам. Выпуск индивидуальных стенных газет по теме курсовых работ (творческих проектов). В конце года каждый ученик защищает курсовую работу (творческий проект) по индивидуальной теме, по результатам которой выставляется итоговая оценка за курс. Организуется смотр-выставка курсовых работ. Учащиеся, добившиеся лучших успехов, поощряются.</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Выпуск стенгазет и бюллетеней о достижениях агрохимии, о связи химии с сельским хозяйством и т.д. проводится в течение года.</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b/>
          <w:bCs/>
          <w:sz w:val="24"/>
          <w:szCs w:val="24"/>
        </w:rPr>
        <w:t>Тема 16.</w:t>
      </w:r>
      <w:r w:rsidRPr="005F4BD5">
        <w:rPr>
          <w:rFonts w:ascii="Times New Roman" w:eastAsia="Times New Roman" w:hAnsi="Times New Roman"/>
          <w:sz w:val="24"/>
          <w:szCs w:val="24"/>
        </w:rPr>
        <w:t> Экскурсии в агрохимические лаборатории, на поля и в сады. Первую экскурсию в агрохимическую лабораторию желательно провести в самом начале работы курса. Остальные экскурсии проводятся в зависимости от возможности в течение года.</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p>
    <w:p w:rsidR="00215E55" w:rsidRPr="005F4BD5" w:rsidRDefault="00215E55" w:rsidP="00215E55">
      <w:pPr>
        <w:shd w:val="clear" w:color="auto" w:fill="FFFFFF"/>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Примерный перечень тем курсовых работ (творческих проектов)</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История зарождения и развития агрохимии. Этапы использования удобрений в жизни человека.</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Химизация земледелия.</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Питание растений из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Свойства почвы в связи с питанием растений и применением удобрений.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Органические и минеральные вещества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Методы определения содержания в почве минеральной и органической части.</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Типы почв, встречаемых на территории России.</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Вода в жизни животных и растений.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Значение азота, фосфора, калия в жизни растений.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Содержание основных элементов питания растений (азота, фосфора, калия) в различных типах почв.</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Методы определения содержания азота, фосфора, калия и микроэлементов в почве.</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Кислотность почв. Методы устранения избыточной кислотности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Методы определения кислотности почвы.</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Значение микроэлементов в жизни растений и животных.</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Органические удобрения (торф, навоз, компосты и др.).</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Бактериальные удобрения (нитрагин, азотобактерин и др.).</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Распознавание удобрений по качественным реакциям.</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Анализ органических удобрений.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lastRenderedPageBreak/>
        <w:t>Агрохимические анализы, их производственное и научное значение.</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Основы получения и производства удобрений.</w:t>
      </w:r>
    </w:p>
    <w:p w:rsidR="00215E55" w:rsidRPr="005F4BD5" w:rsidRDefault="00215E55" w:rsidP="00215E55">
      <w:pPr>
        <w:shd w:val="clear" w:color="auto" w:fill="FFFFFF"/>
        <w:spacing w:after="0" w:line="240" w:lineRule="auto"/>
        <w:rPr>
          <w:rFonts w:ascii="Times New Roman" w:eastAsia="Times New Roman" w:hAnsi="Times New Roman"/>
          <w:b/>
          <w:bCs/>
          <w:sz w:val="24"/>
          <w:szCs w:val="24"/>
        </w:rPr>
      </w:pPr>
    </w:p>
    <w:p w:rsidR="00215E55" w:rsidRDefault="00215E55" w:rsidP="00215E55">
      <w:pPr>
        <w:shd w:val="clear" w:color="auto" w:fill="FFFFFF"/>
        <w:spacing w:after="0" w:line="240" w:lineRule="auto"/>
        <w:jc w:val="center"/>
        <w:rPr>
          <w:rFonts w:ascii="Times New Roman" w:eastAsia="Times New Roman" w:hAnsi="Times New Roman"/>
          <w:b/>
          <w:bCs/>
          <w:sz w:val="24"/>
          <w:szCs w:val="24"/>
        </w:rPr>
      </w:pPr>
    </w:p>
    <w:p w:rsidR="00215E55" w:rsidRDefault="00215E55" w:rsidP="00215E55">
      <w:pPr>
        <w:shd w:val="clear" w:color="auto" w:fill="FFFFFF"/>
        <w:spacing w:after="0" w:line="240" w:lineRule="auto"/>
        <w:jc w:val="center"/>
        <w:rPr>
          <w:rFonts w:ascii="Times New Roman" w:eastAsia="Times New Roman" w:hAnsi="Times New Roman"/>
          <w:b/>
          <w:bCs/>
          <w:sz w:val="24"/>
          <w:szCs w:val="24"/>
        </w:rPr>
      </w:pPr>
    </w:p>
    <w:p w:rsidR="00215E55" w:rsidRDefault="00215E55" w:rsidP="00215E55">
      <w:pPr>
        <w:shd w:val="clear" w:color="auto" w:fill="FFFFFF"/>
        <w:spacing w:after="0" w:line="240" w:lineRule="auto"/>
        <w:jc w:val="center"/>
        <w:rPr>
          <w:rFonts w:ascii="Times New Roman" w:eastAsia="Times New Roman" w:hAnsi="Times New Roman"/>
          <w:b/>
          <w:bCs/>
          <w:sz w:val="24"/>
          <w:szCs w:val="24"/>
        </w:rPr>
      </w:pPr>
    </w:p>
    <w:p w:rsidR="00215E55" w:rsidRPr="005F4BD5" w:rsidRDefault="00215E55" w:rsidP="00215E55">
      <w:pPr>
        <w:shd w:val="clear" w:color="auto" w:fill="FFFFFF"/>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Требования к результатам обучения</w:t>
      </w:r>
    </w:p>
    <w:p w:rsidR="00215E55" w:rsidRPr="005F4BD5" w:rsidRDefault="00215E55" w:rsidP="00215E55">
      <w:pPr>
        <w:shd w:val="clear" w:color="auto" w:fill="FFFFFF"/>
        <w:spacing w:after="0" w:line="240" w:lineRule="auto"/>
        <w:jc w:val="center"/>
        <w:rPr>
          <w:rFonts w:ascii="Times New Roman" w:eastAsia="Times New Roman" w:hAnsi="Times New Roman"/>
          <w:sz w:val="24"/>
          <w:szCs w:val="24"/>
        </w:rPr>
      </w:pP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Знать и выполнять правила техники безопасности работы в химической лаборатории с учетом специфики работы с почвами и удобрениями.</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Уметь работать с реактивами, обычной и специальной химической лабораторной посудой, нагревательными приборами и простейшим оборудованием.</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Иметь понятие об агрохимии и истории ее развития.</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Знать основные свойства почвы; количественные показатели содержания тех или иных элементов в почве; значение азота, фосфора, калия и микроэлементов для жизнедеятельности растений; основы классификации почв и удобрений; основные способы применения удобрений.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Иметь понятия об анализе почв и удобрений. Уметь определять удобрения. Уметь сопоставлять и интерпретировать полученные результаты опытов.</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Уметь выпускать стенгазету, написать и публично защитить курсовую работу (реферат) с использованием дополнительной литературы и результатов своих экспериментов.</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Видеть значимость тщательного и точного исполнения химических лабораторных методов исследования для правильной и своевременной оценки свойств почвы и качества удобрений.</w:t>
      </w:r>
    </w:p>
    <w:p w:rsidR="00215E55" w:rsidRPr="005F4BD5" w:rsidRDefault="00215E55" w:rsidP="00215E55">
      <w:pPr>
        <w:shd w:val="clear" w:color="auto" w:fill="FFFFFF"/>
        <w:spacing w:after="0" w:line="240" w:lineRule="auto"/>
        <w:ind w:firstLine="709"/>
        <w:jc w:val="both"/>
        <w:rPr>
          <w:rFonts w:ascii="Times New Roman" w:eastAsia="Times New Roman" w:hAnsi="Times New Roman"/>
          <w:sz w:val="24"/>
          <w:szCs w:val="24"/>
        </w:rPr>
      </w:pPr>
    </w:p>
    <w:p w:rsidR="00215E55" w:rsidRPr="005F4BD5" w:rsidRDefault="00215E55" w:rsidP="00215E55">
      <w:pPr>
        <w:shd w:val="clear" w:color="auto" w:fill="FFFFFF"/>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Требования к оснащенности учебного процесса по курсу</w:t>
      </w:r>
    </w:p>
    <w:p w:rsidR="00215E55" w:rsidRPr="005F4BD5" w:rsidRDefault="00215E55" w:rsidP="00215E55">
      <w:pPr>
        <w:shd w:val="clear" w:color="auto" w:fill="FFFFFF"/>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«Агрохимия в школе»</w:t>
      </w:r>
    </w:p>
    <w:p w:rsidR="00215E55" w:rsidRPr="005F4BD5" w:rsidRDefault="00215E55" w:rsidP="00215E55">
      <w:pPr>
        <w:shd w:val="clear" w:color="auto" w:fill="FFFFFF"/>
        <w:spacing w:after="0" w:line="240" w:lineRule="auto"/>
        <w:rPr>
          <w:rFonts w:ascii="Times New Roman" w:eastAsia="Times New Roman" w:hAnsi="Times New Roman"/>
          <w:sz w:val="24"/>
          <w:szCs w:val="24"/>
        </w:rPr>
      </w:pPr>
    </w:p>
    <w:p w:rsidR="00215E55" w:rsidRPr="005F4BD5" w:rsidRDefault="00215E55" w:rsidP="00215E55">
      <w:pPr>
        <w:shd w:val="clear" w:color="auto" w:fill="FFFFFF"/>
        <w:tabs>
          <w:tab w:val="left" w:pos="993"/>
        </w:tabs>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Программа курса не предусматривает применение специального аналитического оборудования или приборов.</w:t>
      </w:r>
    </w:p>
    <w:p w:rsidR="00215E55" w:rsidRPr="005F4BD5" w:rsidRDefault="00215E55" w:rsidP="00215E55">
      <w:pPr>
        <w:shd w:val="clear" w:color="auto" w:fill="FFFFFF"/>
        <w:tabs>
          <w:tab w:val="left" w:pos="993"/>
        </w:tabs>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Для проведения практических работ вполне достаточен обычный перечень оборудования школьных химических кабинетов.</w:t>
      </w:r>
    </w:p>
    <w:p w:rsidR="00215E55" w:rsidRPr="005F4BD5" w:rsidRDefault="00215E55" w:rsidP="00215E55">
      <w:pPr>
        <w:shd w:val="clear" w:color="auto" w:fill="FFFFFF"/>
        <w:tabs>
          <w:tab w:val="left" w:pos="993"/>
        </w:tabs>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Возможно, что некоторые реактивы придется предварительно синтезировать, при этом ни методика синтеза, ни исходные соединения не вызовут проблем у учителя.</w:t>
      </w:r>
    </w:p>
    <w:p w:rsidR="00215E55" w:rsidRPr="005F4BD5" w:rsidRDefault="00215E55" w:rsidP="00215E55">
      <w:pPr>
        <w:shd w:val="clear" w:color="auto" w:fill="FFFFFF"/>
        <w:tabs>
          <w:tab w:val="left" w:pos="993"/>
        </w:tabs>
        <w:spacing w:after="0" w:line="240" w:lineRule="auto"/>
        <w:ind w:firstLine="709"/>
        <w:jc w:val="both"/>
        <w:rPr>
          <w:rFonts w:ascii="Times New Roman" w:eastAsia="Times New Roman" w:hAnsi="Times New Roman"/>
          <w:sz w:val="24"/>
          <w:szCs w:val="24"/>
        </w:rPr>
      </w:pPr>
      <w:r w:rsidRPr="005F4BD5">
        <w:rPr>
          <w:rFonts w:ascii="Times New Roman" w:eastAsia="Times New Roman" w:hAnsi="Times New Roman"/>
          <w:sz w:val="24"/>
          <w:szCs w:val="24"/>
        </w:rPr>
        <w:t>Каждый учитель может по своему усмотрению, исходя из возможностей школьного кабинета химии, наличия шефских связей со специальными средними или высшими учебными заведениями, и лабораториями дополнять или сокращать число проводимых опытов, не допуская при этом срыва реализации общих задач курса.</w:t>
      </w:r>
    </w:p>
    <w:p w:rsidR="00215E55" w:rsidRPr="005F4BD5" w:rsidRDefault="00215E55" w:rsidP="00215E55">
      <w:pPr>
        <w:widowControl w:val="0"/>
        <w:numPr>
          <w:ilvl w:val="0"/>
          <w:numId w:val="1"/>
        </w:numPr>
        <w:shd w:val="clear" w:color="auto" w:fill="FFFFFF"/>
        <w:tabs>
          <w:tab w:val="left" w:pos="993"/>
        </w:tabs>
        <w:spacing w:after="0" w:line="240" w:lineRule="auto"/>
        <w:ind w:left="0"/>
        <w:jc w:val="both"/>
        <w:rPr>
          <w:rFonts w:ascii="Times New Roman" w:eastAsia="Times New Roman" w:hAnsi="Times New Roman"/>
          <w:sz w:val="24"/>
          <w:szCs w:val="24"/>
        </w:rPr>
      </w:pPr>
      <w:r w:rsidRPr="005F4BD5">
        <w:rPr>
          <w:rFonts w:ascii="Times New Roman" w:eastAsia="Times New Roman" w:hAnsi="Times New Roman"/>
          <w:b/>
          <w:bCs/>
          <w:sz w:val="24"/>
          <w:szCs w:val="24"/>
          <w:u w:val="single"/>
        </w:rPr>
        <w:t>Неорганические соединения:</w:t>
      </w:r>
      <w:r w:rsidRPr="005F4BD5">
        <w:rPr>
          <w:rFonts w:ascii="Times New Roman" w:eastAsia="Times New Roman" w:hAnsi="Times New Roman"/>
          <w:sz w:val="24"/>
          <w:szCs w:val="24"/>
        </w:rPr>
        <w:t> хлорид натрия, хлорид калия, нитрат серебра, хлорид бария, сульфат меди (II), иодид калия, бромид натрия, фторид натрия, иод, медь металлическая, пероксид водорода, соляная кислота, серная кислота, азотная кислота, фосфат натрия, хлорид олова (II), молибдат аммония, кобальтинитрит натрия, нитрат натрия, нитрат калия, сульфид железа, гидроксид натрия, гидроксид калия, дистиллированная вода.</w:t>
      </w:r>
    </w:p>
    <w:p w:rsidR="00215E55" w:rsidRPr="005F4BD5" w:rsidRDefault="00215E55" w:rsidP="00215E55">
      <w:pPr>
        <w:widowControl w:val="0"/>
        <w:numPr>
          <w:ilvl w:val="0"/>
          <w:numId w:val="1"/>
        </w:numPr>
        <w:shd w:val="clear" w:color="auto" w:fill="FFFFFF"/>
        <w:tabs>
          <w:tab w:val="left" w:pos="993"/>
        </w:tabs>
        <w:spacing w:after="0" w:line="240" w:lineRule="auto"/>
        <w:ind w:left="0"/>
        <w:jc w:val="both"/>
        <w:rPr>
          <w:rFonts w:ascii="Times New Roman" w:eastAsia="Times New Roman" w:hAnsi="Times New Roman"/>
          <w:sz w:val="24"/>
          <w:szCs w:val="24"/>
        </w:rPr>
      </w:pPr>
      <w:r w:rsidRPr="005F4BD5">
        <w:rPr>
          <w:rFonts w:ascii="Times New Roman" w:eastAsia="Times New Roman" w:hAnsi="Times New Roman"/>
          <w:b/>
          <w:bCs/>
          <w:sz w:val="24"/>
          <w:szCs w:val="24"/>
          <w:u w:val="single"/>
        </w:rPr>
        <w:t>Органические соединения:</w:t>
      </w:r>
      <w:r w:rsidRPr="005F4BD5">
        <w:rPr>
          <w:rFonts w:ascii="Times New Roman" w:eastAsia="Times New Roman" w:hAnsi="Times New Roman"/>
          <w:sz w:val="24"/>
          <w:szCs w:val="24"/>
        </w:rPr>
        <w:t> уксусная кислота, гексан или бензин, крахмал, ацетат натрия, ацетат свинца.</w:t>
      </w:r>
    </w:p>
    <w:p w:rsidR="00215E55" w:rsidRPr="005F4BD5" w:rsidRDefault="00215E55" w:rsidP="00215E55">
      <w:pPr>
        <w:widowControl w:val="0"/>
        <w:numPr>
          <w:ilvl w:val="0"/>
          <w:numId w:val="1"/>
        </w:numPr>
        <w:shd w:val="clear" w:color="auto" w:fill="FFFFFF"/>
        <w:tabs>
          <w:tab w:val="left" w:pos="993"/>
        </w:tabs>
        <w:spacing w:after="0" w:line="240" w:lineRule="auto"/>
        <w:ind w:left="0"/>
        <w:jc w:val="both"/>
        <w:rPr>
          <w:rFonts w:ascii="Times New Roman" w:eastAsia="Times New Roman" w:hAnsi="Times New Roman"/>
          <w:sz w:val="24"/>
          <w:szCs w:val="24"/>
        </w:rPr>
      </w:pPr>
      <w:r w:rsidRPr="005F4BD5">
        <w:rPr>
          <w:rFonts w:ascii="Times New Roman" w:eastAsia="Times New Roman" w:hAnsi="Times New Roman"/>
          <w:b/>
          <w:bCs/>
          <w:sz w:val="24"/>
          <w:szCs w:val="24"/>
          <w:u w:val="single"/>
        </w:rPr>
        <w:t>Индикаторы:</w:t>
      </w:r>
      <w:r w:rsidRPr="005F4BD5">
        <w:rPr>
          <w:rFonts w:ascii="Times New Roman" w:eastAsia="Times New Roman" w:hAnsi="Times New Roman"/>
          <w:sz w:val="24"/>
          <w:szCs w:val="24"/>
        </w:rPr>
        <w:t> лакмус, фенолфталеин, метиловый оранжевый, универсальный индикатор (бумажки).</w:t>
      </w:r>
    </w:p>
    <w:p w:rsidR="00215E55" w:rsidRPr="005F4BD5" w:rsidRDefault="00215E55" w:rsidP="00215E55">
      <w:pPr>
        <w:widowControl w:val="0"/>
        <w:numPr>
          <w:ilvl w:val="0"/>
          <w:numId w:val="1"/>
        </w:numPr>
        <w:shd w:val="clear" w:color="auto" w:fill="FFFFFF"/>
        <w:tabs>
          <w:tab w:val="left" w:pos="993"/>
        </w:tabs>
        <w:spacing w:after="0" w:line="240" w:lineRule="auto"/>
        <w:ind w:left="0"/>
        <w:jc w:val="both"/>
        <w:rPr>
          <w:rFonts w:ascii="Times New Roman" w:eastAsia="Times New Roman" w:hAnsi="Times New Roman"/>
          <w:sz w:val="24"/>
          <w:szCs w:val="24"/>
        </w:rPr>
      </w:pPr>
      <w:r w:rsidRPr="005F4BD5">
        <w:rPr>
          <w:rFonts w:ascii="Times New Roman" w:eastAsia="Times New Roman" w:hAnsi="Times New Roman"/>
          <w:b/>
          <w:bCs/>
          <w:sz w:val="24"/>
          <w:szCs w:val="24"/>
          <w:u w:val="single"/>
        </w:rPr>
        <w:t>Химическая посуда:</w:t>
      </w:r>
      <w:r w:rsidRPr="005F4BD5">
        <w:rPr>
          <w:rFonts w:ascii="Times New Roman" w:eastAsia="Times New Roman" w:hAnsi="Times New Roman"/>
          <w:sz w:val="24"/>
          <w:szCs w:val="24"/>
        </w:rPr>
        <w:t> стаканы, колбы, мерные цилиндры и колбы, бюретки, пипетки с грушей, пробирки, капельницы, чашки для выпаривания, тигли, воронки для фильтрования, воронки делительные.</w:t>
      </w:r>
    </w:p>
    <w:p w:rsidR="00215E55" w:rsidRPr="005F4BD5" w:rsidRDefault="00215E55" w:rsidP="00215E55">
      <w:pPr>
        <w:widowControl w:val="0"/>
        <w:numPr>
          <w:ilvl w:val="0"/>
          <w:numId w:val="1"/>
        </w:numPr>
        <w:shd w:val="clear" w:color="auto" w:fill="FFFFFF"/>
        <w:tabs>
          <w:tab w:val="left" w:pos="993"/>
        </w:tabs>
        <w:spacing w:after="0" w:line="240" w:lineRule="auto"/>
        <w:ind w:left="0"/>
        <w:jc w:val="both"/>
        <w:rPr>
          <w:rFonts w:ascii="Times New Roman" w:eastAsia="Times New Roman" w:hAnsi="Times New Roman"/>
          <w:sz w:val="24"/>
          <w:szCs w:val="24"/>
        </w:rPr>
      </w:pPr>
      <w:r w:rsidRPr="005F4BD5">
        <w:rPr>
          <w:rFonts w:ascii="Times New Roman" w:eastAsia="Times New Roman" w:hAnsi="Times New Roman"/>
          <w:b/>
          <w:bCs/>
          <w:sz w:val="24"/>
          <w:szCs w:val="24"/>
          <w:u w:val="single"/>
        </w:rPr>
        <w:t>Лабораторное оборудование:</w:t>
      </w:r>
      <w:r w:rsidRPr="005F4BD5">
        <w:rPr>
          <w:rFonts w:ascii="Times New Roman" w:eastAsia="Times New Roman" w:hAnsi="Times New Roman"/>
          <w:sz w:val="24"/>
          <w:szCs w:val="24"/>
        </w:rPr>
        <w:t> аппарат для дистилляции воды, весы, комплект ареометров, лабораторные термометры, штативы лабораторные, штативы для пробирок, держатели для пробирок, асбестированные сетки, горелки, водяная баня, щипцы тигельные, ложки и шпатели фарфоровые, ступки с пестиками, стеклянные палочки и трубки, резиновая трубка (шланг), пробки, зажимы, ерши для мытья посуды, доска для сушки посуды, фильтровальная бумага, перчатки резиновые, очки защитные.</w:t>
      </w:r>
    </w:p>
    <w:p w:rsidR="00215E55" w:rsidRPr="005F4BD5" w:rsidRDefault="00215E55" w:rsidP="00215E55">
      <w:pPr>
        <w:spacing w:after="0" w:line="240" w:lineRule="auto"/>
        <w:ind w:firstLine="708"/>
        <w:rPr>
          <w:rFonts w:ascii="Times New Roman" w:hAnsi="Times New Roman"/>
          <w:sz w:val="24"/>
          <w:szCs w:val="24"/>
        </w:rPr>
      </w:pPr>
    </w:p>
    <w:p w:rsidR="00215E55" w:rsidRPr="005F4BD5" w:rsidRDefault="00215E55" w:rsidP="00215E55">
      <w:pPr>
        <w:spacing w:after="0" w:line="240" w:lineRule="auto"/>
        <w:rPr>
          <w:sz w:val="24"/>
          <w:szCs w:val="24"/>
        </w:rPr>
      </w:pPr>
    </w:p>
    <w:p w:rsidR="00547995" w:rsidRPr="00215E55" w:rsidRDefault="00547995">
      <w:pPr>
        <w:shd w:val="clear" w:color="auto" w:fill="FFFFFF"/>
        <w:spacing w:after="0" w:line="240" w:lineRule="auto"/>
        <w:jc w:val="center"/>
        <w:rPr>
          <w:rFonts w:ascii="Times New Roman" w:eastAsia="Times New Roman" w:hAnsi="Times New Roman"/>
          <w:b/>
          <w:bCs/>
          <w:sz w:val="24"/>
          <w:szCs w:val="24"/>
        </w:rPr>
      </w:pPr>
    </w:p>
    <w:p w:rsidR="00547995" w:rsidRPr="00215E55" w:rsidRDefault="00547995">
      <w:pPr>
        <w:shd w:val="clear" w:color="auto" w:fill="FFFFFF"/>
        <w:spacing w:after="0" w:line="240" w:lineRule="auto"/>
        <w:jc w:val="center"/>
        <w:rPr>
          <w:rFonts w:ascii="Times New Roman" w:eastAsia="Times New Roman" w:hAnsi="Times New Roman"/>
          <w:b/>
          <w:bCs/>
          <w:sz w:val="24"/>
          <w:szCs w:val="24"/>
        </w:rPr>
      </w:pPr>
    </w:p>
    <w:p w:rsidR="00547995" w:rsidRPr="00215E55" w:rsidRDefault="00547995">
      <w:pPr>
        <w:shd w:val="clear" w:color="auto" w:fill="FFFFFF"/>
        <w:spacing w:after="0" w:line="240" w:lineRule="auto"/>
        <w:jc w:val="center"/>
        <w:rPr>
          <w:rFonts w:ascii="Times New Roman" w:eastAsia="Times New Roman" w:hAnsi="Times New Roman"/>
          <w:b/>
          <w:bCs/>
          <w:sz w:val="24"/>
          <w:szCs w:val="24"/>
        </w:rPr>
      </w:pPr>
    </w:p>
    <w:p w:rsidR="00547995" w:rsidRPr="00215E55" w:rsidRDefault="00547995">
      <w:pPr>
        <w:shd w:val="clear" w:color="auto" w:fill="FFFFFF"/>
        <w:spacing w:after="0" w:line="240" w:lineRule="auto"/>
        <w:jc w:val="center"/>
        <w:rPr>
          <w:rFonts w:ascii="Times New Roman" w:eastAsia="Times New Roman" w:hAnsi="Times New Roman"/>
          <w:b/>
          <w:bCs/>
          <w:sz w:val="24"/>
          <w:szCs w:val="24"/>
        </w:rPr>
      </w:pPr>
    </w:p>
    <w:p w:rsidR="00454840" w:rsidRPr="005F4BD5" w:rsidRDefault="00E63E18">
      <w:pPr>
        <w:shd w:val="clear" w:color="auto" w:fill="FFFFFF"/>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Учебно-тематическое планирование курса</w:t>
      </w:r>
    </w:p>
    <w:p w:rsidR="00454840" w:rsidRPr="005F4BD5" w:rsidRDefault="003A3DF3">
      <w:pPr>
        <w:shd w:val="clear" w:color="auto" w:fill="FFFFFF"/>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«Агрохимия в школе» (34 часа</w:t>
      </w:r>
      <w:r w:rsidR="00E63E18" w:rsidRPr="005F4BD5">
        <w:rPr>
          <w:rFonts w:ascii="Times New Roman" w:eastAsia="Times New Roman" w:hAnsi="Times New Roman"/>
          <w:b/>
          <w:bCs/>
          <w:sz w:val="24"/>
          <w:szCs w:val="24"/>
        </w:rPr>
        <w:t>)</w:t>
      </w:r>
    </w:p>
    <w:p w:rsidR="00454840" w:rsidRPr="005F4BD5" w:rsidRDefault="00454840">
      <w:pPr>
        <w:shd w:val="clear" w:color="auto" w:fill="FFFFFF"/>
        <w:spacing w:after="0" w:line="240" w:lineRule="auto"/>
        <w:jc w:val="center"/>
        <w:rPr>
          <w:rFonts w:ascii="Times New Roman" w:eastAsia="Times New Roman" w:hAnsi="Times New Roman"/>
          <w:sz w:val="24"/>
          <w:szCs w:val="24"/>
        </w:rPr>
      </w:pPr>
    </w:p>
    <w:tbl>
      <w:tblPr>
        <w:tblW w:w="107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5" w:type="dxa"/>
          <w:left w:w="105" w:type="dxa"/>
          <w:bottom w:w="105" w:type="dxa"/>
          <w:right w:w="105" w:type="dxa"/>
        </w:tblCellMar>
        <w:tblLook w:val="04A0" w:firstRow="1" w:lastRow="0" w:firstColumn="1" w:lastColumn="0" w:noHBand="0" w:noVBand="1"/>
      </w:tblPr>
      <w:tblGrid>
        <w:gridCol w:w="814"/>
        <w:gridCol w:w="851"/>
        <w:gridCol w:w="850"/>
        <w:gridCol w:w="19"/>
        <w:gridCol w:w="5651"/>
        <w:gridCol w:w="851"/>
        <w:gridCol w:w="1754"/>
      </w:tblGrid>
      <w:tr w:rsidR="00A95167" w:rsidRPr="005F4BD5" w:rsidTr="00547995">
        <w:trPr>
          <w:trHeight w:val="435"/>
        </w:trPr>
        <w:tc>
          <w:tcPr>
            <w:tcW w:w="814" w:type="dxa"/>
            <w:vMerge w:val="restart"/>
            <w:tcBorders>
              <w:top w:val="single" w:sz="4" w:space="0" w:color="00000A"/>
              <w:left w:val="single" w:sz="4" w:space="0" w:color="00000A"/>
              <w:right w:val="single" w:sz="4" w:space="0" w:color="auto"/>
            </w:tcBorders>
            <w:shd w:val="clear" w:color="auto" w:fill="FFFFFF"/>
            <w:tcMar>
              <w:left w:w="105" w:type="dxa"/>
            </w:tcMar>
            <w:vAlign w:val="center"/>
          </w:tcPr>
          <w:p w:rsidR="00A95167" w:rsidRPr="005F4BD5" w:rsidRDefault="00A95167">
            <w:pPr>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w:t>
            </w:r>
          </w:p>
          <w:p w:rsidR="00A95167" w:rsidRPr="005F4BD5" w:rsidRDefault="00A95167">
            <w:pPr>
              <w:widowControl w:val="0"/>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темы</w:t>
            </w:r>
          </w:p>
        </w:tc>
        <w:tc>
          <w:tcPr>
            <w:tcW w:w="1701" w:type="dxa"/>
            <w:gridSpan w:val="2"/>
            <w:tcBorders>
              <w:top w:val="single" w:sz="4" w:space="0" w:color="00000A"/>
              <w:left w:val="single" w:sz="4" w:space="0" w:color="auto"/>
              <w:bottom w:val="single" w:sz="4" w:space="0" w:color="auto"/>
              <w:right w:val="single" w:sz="4" w:space="0" w:color="00000A"/>
            </w:tcBorders>
            <w:shd w:val="clear" w:color="auto" w:fill="FFFFFF"/>
          </w:tcPr>
          <w:p w:rsidR="00A95167" w:rsidRPr="00547995" w:rsidRDefault="00A95167" w:rsidP="005F4BD5">
            <w:pPr>
              <w:rPr>
                <w:rFonts w:ascii="Times New Roman" w:eastAsia="Times New Roman" w:hAnsi="Times New Roman"/>
                <w:b/>
                <w:bCs/>
                <w:sz w:val="20"/>
                <w:szCs w:val="20"/>
              </w:rPr>
            </w:pPr>
            <w:r w:rsidRPr="00547995">
              <w:rPr>
                <w:rFonts w:ascii="Times New Roman" w:eastAsia="Times New Roman" w:hAnsi="Times New Roman"/>
                <w:b/>
                <w:bCs/>
                <w:sz w:val="20"/>
                <w:szCs w:val="20"/>
              </w:rPr>
              <w:t>Дата проведения</w:t>
            </w:r>
          </w:p>
        </w:tc>
        <w:tc>
          <w:tcPr>
            <w:tcW w:w="5670" w:type="dxa"/>
            <w:gridSpan w:val="2"/>
            <w:vMerge w:val="restart"/>
            <w:tcBorders>
              <w:top w:val="single" w:sz="4" w:space="0" w:color="00000A"/>
              <w:left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Наименование изучаемой темы</w:t>
            </w:r>
          </w:p>
        </w:tc>
        <w:tc>
          <w:tcPr>
            <w:tcW w:w="851" w:type="dxa"/>
            <w:vMerge w:val="restart"/>
            <w:tcBorders>
              <w:top w:val="single" w:sz="4" w:space="0" w:color="00000A"/>
              <w:left w:val="single" w:sz="4" w:space="0" w:color="00000A"/>
              <w:right w:val="single" w:sz="4" w:space="0" w:color="00000A"/>
            </w:tcBorders>
            <w:shd w:val="clear" w:color="auto" w:fill="FFFFFF"/>
            <w:tcMar>
              <w:left w:w="105" w:type="dxa"/>
            </w:tcMar>
            <w:vAlign w:val="center"/>
          </w:tcPr>
          <w:p w:rsidR="00A95167" w:rsidRPr="00547995" w:rsidRDefault="00A95167">
            <w:pPr>
              <w:spacing w:after="0" w:line="240" w:lineRule="auto"/>
              <w:jc w:val="center"/>
              <w:rPr>
                <w:rFonts w:ascii="Times New Roman" w:eastAsia="Times New Roman" w:hAnsi="Times New Roman"/>
                <w:b/>
                <w:bCs/>
                <w:sz w:val="18"/>
                <w:szCs w:val="18"/>
              </w:rPr>
            </w:pPr>
            <w:r w:rsidRPr="00547995">
              <w:rPr>
                <w:rFonts w:ascii="Times New Roman" w:eastAsia="Times New Roman" w:hAnsi="Times New Roman"/>
                <w:b/>
                <w:bCs/>
                <w:sz w:val="18"/>
                <w:szCs w:val="18"/>
              </w:rPr>
              <w:t>Число</w:t>
            </w:r>
          </w:p>
          <w:p w:rsidR="00A95167" w:rsidRPr="005F4BD5" w:rsidRDefault="00A95167">
            <w:pPr>
              <w:widowControl w:val="0"/>
              <w:spacing w:after="0" w:line="240" w:lineRule="auto"/>
              <w:jc w:val="center"/>
              <w:rPr>
                <w:rFonts w:ascii="Times New Roman" w:eastAsia="Times New Roman" w:hAnsi="Times New Roman"/>
                <w:b/>
                <w:bCs/>
                <w:sz w:val="24"/>
                <w:szCs w:val="24"/>
              </w:rPr>
            </w:pPr>
            <w:r w:rsidRPr="00547995">
              <w:rPr>
                <w:rFonts w:ascii="Times New Roman" w:eastAsia="Times New Roman" w:hAnsi="Times New Roman"/>
                <w:b/>
                <w:bCs/>
                <w:sz w:val="18"/>
                <w:szCs w:val="18"/>
              </w:rPr>
              <w:t>часов</w:t>
            </w:r>
          </w:p>
        </w:tc>
        <w:tc>
          <w:tcPr>
            <w:tcW w:w="1754" w:type="dxa"/>
            <w:vMerge w:val="restart"/>
            <w:tcBorders>
              <w:top w:val="single" w:sz="4" w:space="0" w:color="00000A"/>
              <w:left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b/>
                <w:bCs/>
                <w:sz w:val="24"/>
                <w:szCs w:val="24"/>
              </w:rPr>
            </w:pPr>
            <w:r w:rsidRPr="005F4BD5">
              <w:rPr>
                <w:rFonts w:ascii="Times New Roman" w:eastAsia="Times New Roman" w:hAnsi="Times New Roman"/>
                <w:b/>
                <w:bCs/>
                <w:sz w:val="24"/>
                <w:szCs w:val="24"/>
              </w:rPr>
              <w:t>Вид деятельности</w:t>
            </w:r>
          </w:p>
        </w:tc>
      </w:tr>
      <w:tr w:rsidR="00A95167" w:rsidRPr="005F4BD5" w:rsidTr="00547995">
        <w:trPr>
          <w:trHeight w:val="607"/>
        </w:trPr>
        <w:tc>
          <w:tcPr>
            <w:tcW w:w="814" w:type="dxa"/>
            <w:vMerge/>
            <w:tcBorders>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spacing w:after="0" w:line="240" w:lineRule="auto"/>
              <w:jc w:val="cente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00000A"/>
              <w:right w:val="single" w:sz="4" w:space="0" w:color="auto"/>
            </w:tcBorders>
            <w:shd w:val="clear" w:color="auto" w:fill="FFFFFF"/>
          </w:tcPr>
          <w:p w:rsidR="00A95167" w:rsidRPr="00547995" w:rsidRDefault="00A95167" w:rsidP="005F4BD5">
            <w:pPr>
              <w:suppressAutoHyphens w:val="0"/>
              <w:spacing w:after="0"/>
              <w:rPr>
                <w:rFonts w:ascii="Times New Roman" w:eastAsia="Times New Roman" w:hAnsi="Times New Roman"/>
                <w:b/>
                <w:bCs/>
                <w:sz w:val="20"/>
                <w:szCs w:val="20"/>
              </w:rPr>
            </w:pPr>
            <w:r w:rsidRPr="00547995">
              <w:rPr>
                <w:rFonts w:ascii="Times New Roman" w:eastAsia="Times New Roman" w:hAnsi="Times New Roman"/>
                <w:b/>
                <w:bCs/>
                <w:sz w:val="20"/>
                <w:szCs w:val="20"/>
              </w:rPr>
              <w:t xml:space="preserve">По плану     </w:t>
            </w:r>
          </w:p>
        </w:tc>
        <w:tc>
          <w:tcPr>
            <w:tcW w:w="850" w:type="dxa"/>
            <w:tcBorders>
              <w:top w:val="single" w:sz="4" w:space="0" w:color="auto"/>
              <w:left w:val="single" w:sz="4" w:space="0" w:color="auto"/>
              <w:bottom w:val="single" w:sz="4" w:space="0" w:color="00000A"/>
              <w:right w:val="single" w:sz="4" w:space="0" w:color="00000A"/>
            </w:tcBorders>
            <w:shd w:val="clear" w:color="auto" w:fill="FFFFFF"/>
            <w:vAlign w:val="center"/>
          </w:tcPr>
          <w:p w:rsidR="00A95167" w:rsidRPr="00547995" w:rsidRDefault="00A95167" w:rsidP="00547995">
            <w:pPr>
              <w:rPr>
                <w:rFonts w:ascii="Times New Roman" w:eastAsia="Times New Roman" w:hAnsi="Times New Roman"/>
                <w:b/>
                <w:bCs/>
                <w:sz w:val="20"/>
                <w:szCs w:val="20"/>
              </w:rPr>
            </w:pPr>
            <w:r w:rsidRPr="00547995">
              <w:rPr>
                <w:rFonts w:ascii="Times New Roman" w:eastAsia="Times New Roman" w:hAnsi="Times New Roman"/>
                <w:b/>
                <w:bCs/>
                <w:sz w:val="20"/>
                <w:szCs w:val="20"/>
              </w:rPr>
              <w:t>Факт.</w:t>
            </w:r>
          </w:p>
        </w:tc>
        <w:tc>
          <w:tcPr>
            <w:tcW w:w="5670" w:type="dxa"/>
            <w:gridSpan w:val="2"/>
            <w:vMerge/>
            <w:tcBorders>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b/>
                <w:bCs/>
                <w:sz w:val="24"/>
                <w:szCs w:val="24"/>
              </w:rPr>
            </w:pPr>
          </w:p>
        </w:tc>
        <w:tc>
          <w:tcPr>
            <w:tcW w:w="851" w:type="dxa"/>
            <w:vMerge/>
            <w:tcBorders>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spacing w:after="0" w:line="240" w:lineRule="auto"/>
              <w:jc w:val="center"/>
              <w:rPr>
                <w:rFonts w:ascii="Times New Roman" w:eastAsia="Times New Roman" w:hAnsi="Times New Roman"/>
                <w:b/>
                <w:bCs/>
                <w:sz w:val="24"/>
                <w:szCs w:val="24"/>
              </w:rPr>
            </w:pPr>
          </w:p>
        </w:tc>
        <w:tc>
          <w:tcPr>
            <w:tcW w:w="1754" w:type="dxa"/>
            <w:vMerge/>
            <w:tcBorders>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b/>
                <w:bCs/>
                <w:sz w:val="24"/>
                <w:szCs w:val="24"/>
              </w:rPr>
            </w:pP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Организационное занятие. Предмет и задачи агрохимии. Краткий очерк развития агрохимии.</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Инструктаж по технике безопасности работы в химической лаборатории. Знакомство с химической посудой и лабораторным оборудованием.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с демонстрацией наглядных пособий</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3</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Почва. Плодородие почвы. Почвенный профиль. Определение мощности почвы и её отдельных горизонтов. Отбор почвенных образцов. Подготовка почвы к анализу.</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3</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с демонстрацией наглядных пособий, сообщения учащихся, практические работы</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4</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Состав минеральной и органической частей почвы. Определение влажности, массовой доли органических веществ и перегноя в почве.</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4</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практические работы</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5</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Классификация почв. Определение механического состава почвы.</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с демонстрацией наглядных пособий, практические работы</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6</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Свойства почвы: поглотительная способность, кислотность, щелочность, буферность. Определение кислотности почвы.</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4</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с демонстрацией опытов, практические работы</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7</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Вода почвы. Определение влагоёмкости почвы.</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практические работы</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8</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Этапы использования удобрений в жизни человека. Классификация удобрений.</w:t>
            </w:r>
          </w:p>
          <w:p w:rsidR="006923B4" w:rsidRPr="005F4BD5" w:rsidRDefault="006923B4">
            <w:pPr>
              <w:widowControl w:val="0"/>
              <w:spacing w:after="0" w:line="240" w:lineRule="auto"/>
              <w:rPr>
                <w:rFonts w:ascii="Times New Roman" w:eastAsia="Times New Roman" w:hAnsi="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lastRenderedPageBreak/>
              <w:t>9</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Азот в жизнедеятельности растений. Азотные удобрения. Определение содержания нитратного азота в почве.</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sz w:val="18"/>
                <w:szCs w:val="18"/>
              </w:rPr>
            </w:pPr>
            <w:r w:rsidRPr="00547995">
              <w:rPr>
                <w:rFonts w:ascii="Times New Roman" w:eastAsia="Times New Roman" w:hAnsi="Times New Roman"/>
                <w:sz w:val="18"/>
                <w:szCs w:val="18"/>
              </w:rPr>
              <w:t>Лекция-беседа с демонстрацией наглядных пособий, практические работы</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10</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Фосфор в жизнедеятельности растений. Фосфорные удобрения.</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с демонстрацией наглядных пособий</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11</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Калий в жизнедеятельности растений. Калийные удобрения. Определение содержания калия в почве. Распознание минеральных удобрений.</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 с демонстрацией наглядных пособий, практические работы</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12</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Микроэлементы в жизнедеятельности растений. Микроудобрения. Комплексные удобрения.</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13</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Органические удобрения.</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14</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Внесение удобрений.</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Лекция-беседа</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15</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Защита курсовых работ по индивидуальным темам. Выпуск индивидуальных стенных газет по теме курсовых работ.</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Защита курсовых работ (творческих проектов)</w:t>
            </w:r>
          </w:p>
        </w:tc>
      </w:tr>
      <w:tr w:rsidR="00A95167" w:rsidRPr="00547995" w:rsidTr="00547995">
        <w:trPr>
          <w:trHeight w:val="149"/>
        </w:trPr>
        <w:tc>
          <w:tcPr>
            <w:tcW w:w="814" w:type="dxa"/>
            <w:tcBorders>
              <w:top w:val="single" w:sz="4" w:space="0" w:color="00000A"/>
              <w:left w:val="single" w:sz="4" w:space="0" w:color="00000A"/>
              <w:bottom w:val="single" w:sz="4" w:space="0" w:color="00000A"/>
              <w:right w:val="single" w:sz="4" w:space="0" w:color="auto"/>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16</w:t>
            </w:r>
          </w:p>
        </w:tc>
        <w:tc>
          <w:tcPr>
            <w:tcW w:w="851" w:type="dxa"/>
            <w:tcBorders>
              <w:top w:val="single" w:sz="4" w:space="0" w:color="00000A"/>
              <w:left w:val="single" w:sz="4" w:space="0" w:color="auto"/>
              <w:bottom w:val="single" w:sz="4" w:space="0" w:color="00000A"/>
              <w:right w:val="single" w:sz="4" w:space="0" w:color="auto"/>
            </w:tcBorders>
            <w:shd w:val="clear" w:color="auto" w:fill="FFFFFF"/>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A95167" w:rsidRPr="005F4BD5" w:rsidRDefault="00A95167" w:rsidP="005F4BD5">
            <w:pPr>
              <w:widowControl w:val="0"/>
              <w:spacing w:after="0" w:line="240" w:lineRule="auto"/>
              <w:jc w:val="center"/>
              <w:rPr>
                <w:rFonts w:ascii="Times New Roman" w:eastAsia="Times New Roman" w:hAnsi="Times New Roman"/>
                <w:sz w:val="24"/>
                <w:szCs w:val="24"/>
              </w:rPr>
            </w:pP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Экскурсии в агрохимические лаборатории, на поля и в сады.</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Экскурсия</w:t>
            </w:r>
          </w:p>
        </w:tc>
      </w:tr>
      <w:tr w:rsidR="00A95167" w:rsidRPr="00547995" w:rsidTr="00547995">
        <w:trPr>
          <w:trHeight w:val="325"/>
        </w:trPr>
        <w:tc>
          <w:tcPr>
            <w:tcW w:w="2534" w:type="dxa"/>
            <w:gridSpan w:val="4"/>
            <w:tcBorders>
              <w:top w:val="single" w:sz="4" w:space="0" w:color="00000A"/>
              <w:left w:val="single" w:sz="4" w:space="0" w:color="00000A"/>
              <w:bottom w:val="single" w:sz="4" w:space="0" w:color="00000A"/>
              <w:right w:val="single" w:sz="4" w:space="0" w:color="00000A"/>
            </w:tcBorders>
            <w:shd w:val="clear" w:color="auto" w:fill="FFFFFF"/>
          </w:tcPr>
          <w:p w:rsidR="00A95167" w:rsidRPr="005F4BD5" w:rsidRDefault="00A95167">
            <w:pPr>
              <w:widowControl w:val="0"/>
              <w:spacing w:after="0" w:line="240" w:lineRule="auto"/>
              <w:rPr>
                <w:rFonts w:ascii="Times New Roman" w:eastAsia="Times New Roman" w:hAnsi="Times New Roman"/>
                <w:sz w:val="24"/>
                <w:szCs w:val="24"/>
              </w:rPr>
            </w:pPr>
          </w:p>
        </w:tc>
        <w:tc>
          <w:tcPr>
            <w:tcW w:w="56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rPr>
                <w:rFonts w:ascii="Times New Roman" w:eastAsia="Times New Roman" w:hAnsi="Times New Roman"/>
                <w:sz w:val="24"/>
                <w:szCs w:val="24"/>
              </w:rPr>
            </w:pPr>
            <w:r w:rsidRPr="005F4BD5">
              <w:rPr>
                <w:rFonts w:ascii="Times New Roman" w:eastAsia="Times New Roman" w:hAnsi="Times New Roman"/>
                <w:sz w:val="24"/>
                <w:szCs w:val="24"/>
              </w:rPr>
              <w:t>Итого часов</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rsidR="00A95167" w:rsidRPr="005F4BD5" w:rsidRDefault="00A95167">
            <w:pPr>
              <w:widowControl w:val="0"/>
              <w:spacing w:after="0" w:line="240" w:lineRule="auto"/>
              <w:jc w:val="center"/>
              <w:rPr>
                <w:rFonts w:ascii="Times New Roman" w:eastAsia="Times New Roman" w:hAnsi="Times New Roman"/>
                <w:sz w:val="24"/>
                <w:szCs w:val="24"/>
              </w:rPr>
            </w:pPr>
            <w:r w:rsidRPr="005F4BD5">
              <w:rPr>
                <w:rFonts w:ascii="Times New Roman" w:eastAsia="Times New Roman" w:hAnsi="Times New Roman"/>
                <w:sz w:val="24"/>
                <w:szCs w:val="24"/>
              </w:rPr>
              <w:t>34</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rsidR="00A95167" w:rsidRPr="00547995" w:rsidRDefault="00A95167">
            <w:pPr>
              <w:widowControl w:val="0"/>
              <w:spacing w:after="0" w:line="240" w:lineRule="auto"/>
              <w:rPr>
                <w:rFonts w:ascii="Times New Roman" w:eastAsia="Times New Roman" w:hAnsi="Times New Roman"/>
              </w:rPr>
            </w:pPr>
            <w:r w:rsidRPr="00547995">
              <w:rPr>
                <w:rFonts w:ascii="Times New Roman" w:eastAsia="Times New Roman" w:hAnsi="Times New Roman"/>
              </w:rPr>
              <w:t> </w:t>
            </w:r>
          </w:p>
        </w:tc>
      </w:tr>
    </w:tbl>
    <w:p w:rsidR="00454840" w:rsidRPr="005F4BD5" w:rsidRDefault="00454840">
      <w:pPr>
        <w:spacing w:after="0" w:line="240" w:lineRule="auto"/>
        <w:rPr>
          <w:rFonts w:ascii="Times New Roman" w:eastAsia="Times New Roman" w:hAnsi="Times New Roman"/>
          <w:b/>
          <w:bCs/>
          <w:sz w:val="24"/>
          <w:szCs w:val="24"/>
          <w:shd w:val="clear" w:color="auto" w:fill="FFFFFF"/>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p w:rsidR="00547995" w:rsidRDefault="00547995">
      <w:pPr>
        <w:spacing w:after="0" w:line="240" w:lineRule="auto"/>
        <w:jc w:val="center"/>
        <w:rPr>
          <w:rFonts w:ascii="Times New Roman" w:eastAsia="Times New Roman" w:hAnsi="Times New Roman"/>
          <w:b/>
          <w:bCs/>
          <w:sz w:val="24"/>
          <w:szCs w:val="24"/>
          <w:shd w:val="clear" w:color="auto" w:fill="FFFFFF"/>
          <w:lang w:val="en-US"/>
        </w:rPr>
      </w:pPr>
    </w:p>
    <w:sectPr w:rsidR="00547995" w:rsidSect="00215E55">
      <w:footerReference w:type="default" r:id="rId9"/>
      <w:pgSz w:w="11906" w:h="16838"/>
      <w:pgMar w:top="851" w:right="849" w:bottom="993" w:left="851" w:header="0" w:footer="0" w:gutter="0"/>
      <w:pgBorders w:display="firstPage" w:offsetFrom="page">
        <w:top w:val="single" w:sz="4" w:space="24" w:color="auto"/>
        <w:left w:val="single" w:sz="4" w:space="24" w:color="auto"/>
        <w:bottom w:val="single" w:sz="4" w:space="24" w:color="auto"/>
        <w:right w:val="single" w:sz="4" w:space="24" w:color="auto"/>
      </w:pgBorders>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DD" w:rsidRDefault="001F34DD" w:rsidP="00215E55">
      <w:pPr>
        <w:spacing w:after="0" w:line="240" w:lineRule="auto"/>
      </w:pPr>
      <w:r>
        <w:separator/>
      </w:r>
    </w:p>
  </w:endnote>
  <w:endnote w:type="continuationSeparator" w:id="0">
    <w:p w:rsidR="001F34DD" w:rsidRDefault="001F34DD" w:rsidP="0021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FreeSan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904628"/>
      <w:docPartObj>
        <w:docPartGallery w:val="Page Numbers (Bottom of Page)"/>
        <w:docPartUnique/>
      </w:docPartObj>
    </w:sdtPr>
    <w:sdtEndPr/>
    <w:sdtContent>
      <w:p w:rsidR="00215E55" w:rsidRDefault="00215E55">
        <w:pPr>
          <w:pStyle w:val="a7"/>
          <w:jc w:val="right"/>
        </w:pPr>
        <w:r>
          <w:fldChar w:fldCharType="begin"/>
        </w:r>
        <w:r>
          <w:instrText>PAGE   \* MERGEFORMAT</w:instrText>
        </w:r>
        <w:r>
          <w:fldChar w:fldCharType="separate"/>
        </w:r>
        <w:r w:rsidR="00142A18">
          <w:rPr>
            <w:noProof/>
          </w:rPr>
          <w:t>3</w:t>
        </w:r>
        <w:r>
          <w:fldChar w:fldCharType="end"/>
        </w:r>
      </w:p>
    </w:sdtContent>
  </w:sdt>
  <w:p w:rsidR="00215E55" w:rsidRDefault="00215E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DD" w:rsidRDefault="001F34DD" w:rsidP="00215E55">
      <w:pPr>
        <w:spacing w:after="0" w:line="240" w:lineRule="auto"/>
      </w:pPr>
      <w:r>
        <w:separator/>
      </w:r>
    </w:p>
  </w:footnote>
  <w:footnote w:type="continuationSeparator" w:id="0">
    <w:p w:rsidR="001F34DD" w:rsidRDefault="001F34DD" w:rsidP="00215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26D1F"/>
    <w:multiLevelType w:val="multilevel"/>
    <w:tmpl w:val="E328F3F4"/>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FB52929"/>
    <w:multiLevelType w:val="multilevel"/>
    <w:tmpl w:val="AC62E0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840"/>
    <w:rsid w:val="00142A18"/>
    <w:rsid w:val="001B11F2"/>
    <w:rsid w:val="001F34DD"/>
    <w:rsid w:val="00215E55"/>
    <w:rsid w:val="003A3DF3"/>
    <w:rsid w:val="00454840"/>
    <w:rsid w:val="00455162"/>
    <w:rsid w:val="00495B37"/>
    <w:rsid w:val="00547995"/>
    <w:rsid w:val="005A7F76"/>
    <w:rsid w:val="005D7C2F"/>
    <w:rsid w:val="005F4BD5"/>
    <w:rsid w:val="006923B4"/>
    <w:rsid w:val="006B1936"/>
    <w:rsid w:val="007A4884"/>
    <w:rsid w:val="00A13A71"/>
    <w:rsid w:val="00A86C69"/>
    <w:rsid w:val="00A95167"/>
    <w:rsid w:val="00E50094"/>
    <w:rsid w:val="00E6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8DA734C-1FF9-48DD-8578-BE16958C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40"/>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TextBody"/>
    <w:rsid w:val="00454840"/>
    <w:pPr>
      <w:keepNext/>
      <w:spacing w:before="240" w:after="120"/>
    </w:pPr>
    <w:rPr>
      <w:rFonts w:ascii="Liberation Sans" w:hAnsi="Liberation Sans" w:cs="FreeSans"/>
      <w:sz w:val="28"/>
      <w:szCs w:val="28"/>
    </w:rPr>
  </w:style>
  <w:style w:type="paragraph" w:customStyle="1" w:styleId="TextBody">
    <w:name w:val="Text Body"/>
    <w:basedOn w:val="a"/>
    <w:rsid w:val="00454840"/>
    <w:pPr>
      <w:spacing w:after="140" w:line="288" w:lineRule="auto"/>
    </w:pPr>
  </w:style>
  <w:style w:type="paragraph" w:styleId="a3">
    <w:name w:val="List"/>
    <w:basedOn w:val="TextBody"/>
    <w:rsid w:val="00454840"/>
    <w:rPr>
      <w:rFonts w:cs="FreeSans"/>
    </w:rPr>
  </w:style>
  <w:style w:type="paragraph" w:customStyle="1" w:styleId="1">
    <w:name w:val="Название объекта1"/>
    <w:basedOn w:val="a"/>
    <w:rsid w:val="00454840"/>
    <w:pPr>
      <w:suppressLineNumbers/>
      <w:spacing w:before="120" w:after="120"/>
    </w:pPr>
    <w:rPr>
      <w:rFonts w:cs="FreeSans"/>
      <w:i/>
      <w:iCs/>
      <w:sz w:val="24"/>
      <w:szCs w:val="24"/>
    </w:rPr>
  </w:style>
  <w:style w:type="paragraph" w:customStyle="1" w:styleId="Index">
    <w:name w:val="Index"/>
    <w:basedOn w:val="a"/>
    <w:rsid w:val="00454840"/>
    <w:pPr>
      <w:suppressLineNumbers/>
    </w:pPr>
    <w:rPr>
      <w:rFonts w:cs="FreeSans"/>
    </w:rPr>
  </w:style>
  <w:style w:type="paragraph" w:styleId="a4">
    <w:name w:val="Normal (Web)"/>
    <w:basedOn w:val="a"/>
    <w:uiPriority w:val="99"/>
    <w:semiHidden/>
    <w:unhideWhenUsed/>
    <w:rsid w:val="00547995"/>
    <w:pPr>
      <w:suppressAutoHyphens w:val="0"/>
      <w:spacing w:after="160" w:line="259" w:lineRule="auto"/>
    </w:pPr>
    <w:rPr>
      <w:rFonts w:ascii="Times New Roman" w:eastAsiaTheme="minorHAnsi" w:hAnsi="Times New Roman"/>
      <w:sz w:val="24"/>
      <w:szCs w:val="24"/>
      <w:lang w:eastAsia="en-US"/>
    </w:rPr>
  </w:style>
  <w:style w:type="paragraph" w:styleId="a5">
    <w:name w:val="header"/>
    <w:basedOn w:val="a"/>
    <w:link w:val="a6"/>
    <w:uiPriority w:val="99"/>
    <w:unhideWhenUsed/>
    <w:rsid w:val="00215E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5E55"/>
  </w:style>
  <w:style w:type="paragraph" w:styleId="a7">
    <w:name w:val="footer"/>
    <w:basedOn w:val="a"/>
    <w:link w:val="a8"/>
    <w:uiPriority w:val="99"/>
    <w:unhideWhenUsed/>
    <w:rsid w:val="00215E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5E55"/>
  </w:style>
  <w:style w:type="paragraph" w:styleId="a9">
    <w:name w:val="Balloon Text"/>
    <w:basedOn w:val="a"/>
    <w:link w:val="aa"/>
    <w:uiPriority w:val="99"/>
    <w:semiHidden/>
    <w:unhideWhenUsed/>
    <w:rsid w:val="00215E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5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CC5F1-6A21-48CB-98D6-382D3F16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Проректор</dc:creator>
  <cp:lastModifiedBy>Бердова Наталья</cp:lastModifiedBy>
  <cp:revision>15</cp:revision>
  <cp:lastPrinted>2022-09-21T08:12:00Z</cp:lastPrinted>
  <dcterms:created xsi:type="dcterms:W3CDTF">2016-09-21T17:01:00Z</dcterms:created>
  <dcterms:modified xsi:type="dcterms:W3CDTF">2023-10-02T18:10:00Z</dcterms:modified>
  <dc:language>ru-RU</dc:language>
</cp:coreProperties>
</file>